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21 22 vom 26. April 2024</w:t>
      </w:r>
    </w:p>
    <w:p>
      <w:r>
        <w:t>VS Kantonsgericht, 2024-04-26, FR</w:t>
      </w:r>
    </w:p>
    <w:p>
      <w:r>
        <w:rPr>
          <w:b/>
        </w:rPr>
        <w:t xml:space="preserve">Quelle: </w:t>
      </w:r>
      <w:r>
        <w:t>https://mcp.opencaselaw.ch/entscheid/vs_gerichte_S2 21 22</w:t>
      </w:r>
    </w:p>
    <w:p>
      <w:r>
        <w:t>FR: VS_GERICHTE S2 21 22 du 26 avril 2024</w:t>
      </w:r>
    </w:p>
    <w:p>
      <w:r>
        <w:t>IT: VS_GERICHTE S2 21 22 del 26 aprile 2024</w:t>
      </w:r>
    </w:p>
    <w:p>
      <w:pPr>
        <w:pStyle w:val="Heading2"/>
      </w:pPr>
      <w:r>
        <w:t>Regeste</w:t>
      </w:r>
    </w:p>
    <w:p>
      <w:r>
        <w:t>S2 21 22 ARRÊT DU 26 AVRIL 2024 Tribunal cantonal du Valais Cour des assurances sociales Composition : Candido Prada, président ; Jean-Bernard Fournier et Christophe Joris, juges ; Pierre-André Moix, greffier en la cause X _________, recourante, représentée par Maître Y _________ contre Z _________ SA, intimée (Indemnités journalières maladie, art. 67 LAMal)</w:t>
      </w:r>
    </w:p>
    <w:p>
      <w:pPr>
        <w:pStyle w:val="Heading2"/>
      </w:pPr>
      <w:r>
        <w:t>Erwägungen</w:t>
      </w:r>
    </w:p>
    <w:p>
      <w:r>
        <w:rPr>
          <w:b/>
        </w:rPr>
        <w:t>E. 1</w:t>
      </w:r>
    </w:p>
    <w:p>
      <w:r>
        <w:t>Selon l'article 1 alinéa 1 de la loi fédérale sur l'assurance-maladie (LAMal ; RS 832.10), les dispositions de la loi fédérale du 6 octobre 2000 sur la partie générale du droit des assurances sociales (LPGA ; RS 830.1) s'appliquent à l'assurance-maladie, à moins que la LAMal n'y déroge expressément. Posté le 22 février 2021, le présent recours à l'encontre de la décision sur opposition du 21 janvier précédent a été interjeté dans le délai légal de trente jours (art. 60 LPGA) et devant le tribunal compétent (art. 56, 57 et 58 LPGA ; art. 81a al. 1 LPJA). Il répond par ailleurs aux autres conditions formelles de recevabilité (art. 61 let. b LPGA), de sorte que la Cour doit entrer en matière. 2.1 Le litige porte sur le droit de la recourante à des indemnités journalières au-delà du 17 mai 2020, date à laquelle l’intimée a mis fin à leur versement. Plus particulièrement, il s’agit de déterminer si la recourante présentait une incapacité de travail pour cause de maladie au-delà de cette date. 2.2 Selon l'article 67 LAMal, toute personne domiciliée en Suisse ou qui y exerce une activité lucrative, âgée de 15 ans révolus, mais qui n'a pas atteint 65 ans, peut conclure une assurance d'indemnités journalières (al. 1). Celle-ci peut être convenue sous la forme d'un contrat individuel ou collectif (al. 3). Aux termes de l'article 72 alinéa 1 LAMal, l'assureur convient avec le preneur d'assurance du montant des indemnités journalières assurées. Ils peuvent limiter la</w:t>
      </w:r>
    </w:p>
    <w:p>
      <w:r>
        <w:t>- 7 - couverture aux risques de la maladie et de la maternité. Le droit aux indemnités journalières prend naissance lorsque l’assuré a une capacité de travail réduite au moins de moitié (art. 6 LPGA). Par ailleurs, le fait de s'être assuré pour une indemnité journalière d'un montant donné et d'avoir payé les primes correspondantes n'ouvre pas forcément le droit au versement de la somme assurée (ATF 110 V 318 consid. 5). L'assuré doit encore prouver l'existence d'une incapacité de travail et d'une perte de salaire ou de gain consécutive à la maladie (RAMA 2000 n° KV 137, p. 355 consid. 3c, K 14/00 ; cf. aussi ATF 130 V 35 consid. 3.2 et 3.3 ; Eugster, Krankenversicherung [E.], in : SBVR, Soziale Sicherheit, 3e éd., n° 1464 p. 842). Le versement d'une indemnité journalière par l'assurance-maladie est ainsi subordonné à l'existence d'une incapacité de travail, totale ou partielle. Selon l'article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Pour déterminer le taux de l'incapacité de travail, il faut établir dans quelle mesure l'assuré ne peut plus, en raison de l'atteinte à la santé, exercer son activité antérieure, compte tenu de sa productivité effective et de l'effort que l'on peut raisonnablement exiger de lui (RAMA 2005 KV n°342 p. 356 ; ATF 114 V 281 consid. 1c). En cas d'incapacité de travail de longue durée, on peut raisonnablement exiger de l'assuré, conformément à son obligation de diminuer le dommage, qu'il utilise sa capacité de travail résiduelle dans un autre secteur d'activité professionnelle (ATF 129 V 463 consid. 4.2 ; 123 V 233 consid. 3c ; Riemer-Kafka, Die Pflicht zur Selbstverantwortung, Fribourg 1999, p. 57, 551 et 572, voir aussi p. 277 s. en ce qui concerne le droit à l'indemnité journalière dans l'assurance-maladie). Si une activité de substitution est exigible, le droit à l'indemnité journalière dépend de l'existence d'une perte de gain éventuelle imputable au risque assuré. Celle-ci se détermine par la différence entre le revenu qui pourrait être obtenu sans la survenance de l'éventualité assurée dans la profession exercée jusqu'ici et le revenu qui est obtenu ou pourrait raisonnablement être réalisé dans la nouvelle profession. La perte de gain chiffrée en pour cent donne ainsi le taux de l'incapacité de travail résiduelle (arrêt 8C_251/2012 du 27 août 2012 consid. 2 et les références, notamment à l’ATF 114 V 281). 2.3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qu’un médecin,</w:t>
      </w:r>
    </w:p>
    <w:p>
      <w:r>
        <w:t>- 8 -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 125 V 351 consid. 3a ; 122 V 157 consid. 1c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w:t>
      </w:r>
    </w:p>
    <w:p>
      <w:r>
        <w:t>- 9 -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9C_973/2011 du</w:t>
      </w:r>
    </w:p>
    <w:p>
      <w:r>
        <w:rPr>
          <w:b/>
        </w:rPr>
        <w:t>E. 4</w:t>
      </w:r>
    </w:p>
    <w:p>
      <w:r>
        <w:t>mai 2012 consid. 3.2.1).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I 514/06 du 25 mai 2007 consid. 2.2.1, in : SVR 2008 IV Nr. 15 p. 43), on ne saurait remettre en cause une expertise ordonnée par l'administration ou le juge et procéder à de nouvelles investigations du seul fait qu'un ou plusieurs médecins traitants ont une opinion contraire. Il n'en va différemment que si ces médecins traitants font état d'éléments objectivement vérifiables ayant été ignorés dans le cadre de l'expertise et qui sont suffisamment pertinents pour remettre en cause les conclusions de l'expert (arrêt 9C_369/2008 du 5 mars 2009 consid. 2.2). Pour qu'un avis médical puisse être écarté, il est nécessaire qu'il existe des circonstances particulières qui permettent de justifier objectivement les doutes émis quant à l'impartialité ou au bien- fondé de l'évaluation (arrêts 9C_276/2015 du 10 novembre 2015 consid. 4.3 ; 9C_607/2008 du 27 avril 2009 consid. 3 ; 9C_885/2007 du 15 septembre 2008 consid. 3.2 et 9C_773/2007 du 23 juin 2008 consid. 5.2). 3.1 En l’espèce, l’intimée a fondé son appréciation sur les conclusions des expertises des Drs D _________ et J _________. Selon ces spécialistes, l’assurée était apte à reprendre une activité professionnelle au plus tard au 18 mai 2020. Le Dr D _________ avait notamment estimé qu’il n’existait aucune affection somatique ou psychique susceptible de justifier une incapacité de travail, la patiente paraissant enkystée dans sa symptomatologie et ses demandes financières. Quant au Dr J _________, il a constaté que la recourante disposait de ressources (organisation de sa journée, effectuer les tâches ménagères, avoir des loisirs) et a relevé des discordances entre ses capacités à exercer certaines activités dans sa vie privée et son incapacité de travail. Il a posé des diagnostics de trouble dépressif de gravité légère et de majoration des symptômes physiques, lesquels étaient toutefois sans répercussion sur la capacité de travail.</w:t>
      </w:r>
    </w:p>
    <w:p>
      <w:r>
        <w:t>- 10 - Du point de vue psychiatrique, ces diagnostics ne sont pas véritablement mis en cause par les médecins traitants, la Dre G _________ du H _________ indiquant dans son rapport du 23 juillet 2020 que le discours de la patiente était cohérent, qu’elle était collaborante, vigilante et orientée aux 4 modes, sans troubles du cours ni du contenu de la pensée, sans troubles de mémoire et sans ralentissement psychomoteur. La thymie était considérée comme abaissée avec diminution du plaisir et de l’intérêt, éléments qui étaient toutefois insuffisants pour fonder un trouble psychiatrique incapacitant. Ces constatations, qui se recoupent avec celles notées par le Dr J _________ au cours de son examen clinique, ont conduit la Dre G _________ à conclure à l’absence d’éléments suffisants pour se prononcer sur la capacité de travail, mais la spécialiste estimait tout de même qu’une reprise du travail était envisageable de façon progressive et dans un contexte adapté à ses limitations. La seule véritable voix divergente émane du Dr C _________, neurologue. Ce dernier affirme en effet dans plusieurs rapports (28 avril et 19 juin 2020) que l’incapacité de travail est entière, en mettant l’accent sur le caractère subjectif et invalidant des troubles de sa patiente. Cependant, du point de vue neurologique, il ne pose pas de diagnostic invalidant, se contentant de décrire une légère instabilité au funambule et une micro- ataxie au niveau des membres supérieurs, et insiste sur la forte composante de l’aspect psychoaffectif, avec des symptômes relevants (idées noires, évocation du suicide), qui justifient selon lui une incapacité de travail (rapport du 3 février 2020). Du point de vue psychiatrique, les conclusions du Dr J _________, qui est spécialiste en psychiatrie au contraire du Dr C _________ et dont l’avis a été corroboré par les psychiatres du H _________ et par le médecin-conseil de l’intimée, le Dr K _________, doivent ainsi être suivies et la Cour se déclare convaincue par son appréciation de la capacité de travail de la recourante sur ce point. La recourante estime que si B _________ a décidé de poursuivre le versement de ses prestations, il devrait en aller de même pour Z _________. Tel qu’il a été exposé ci- dessus, les conclusions des experts sur la capacité de travail sont convaincantes et le fait qu’une autre assurance ait jugé, pour des raisons qui lui sont propres, que le versement d’indemnités journalières devait se poursuivre, n’entraîne pas pour l’intimée la même obligation. En outre, le dossier de B _________ ne comporte aucune pièce médicale émanant de son médecin-conseil se prononçant sur la situation après que l’expertise du Dr J _________ a été rendue. Enfin, il convient également de relever que l’OAI, par décision du 25 août 2022, a refusé de mettre la recourante au bénéfice de</w:t>
      </w:r>
    </w:p>
    <w:p>
      <w:r>
        <w:t>- 11 - prestations de l’assurance-invalidité, au motif qu’elle était considérée comme apte à travailler dans n’importe quelle activité dès le 29 avril 2020. Au terme de ces développements, il n’y a donc pas lieu de revenir sur le taux de capacité de travail médico-théorique tel qu’arrêté par les experts. L’intimée pouvait dès lors à juste titre considérer que la recourante avait retrouvé une pleine capacité de travail à partir du 29 avril 2020. La décision entreprise mettant un terme au versement des indemnités journalières au 17 mai 2020 doit ainsi être confirmée et le recours rejeté. Il ne se justifie au demeurant pas de mettre en œuvre des moyens de preuves complémentaires (appréciation anticipée des moyens de preuve ; ATF 145 I 167 consid. 4.1, 144 II 427 consid. 3.1.3 et 141 I 60 consid. 3.3).</w:t>
      </w:r>
    </w:p>
    <w:p>
      <w:r>
        <w:rPr>
          <w:b/>
        </w:rPr>
        <w:t>E. 4.1</w:t>
      </w:r>
    </w:p>
    <w:p>
      <w:r>
        <w:t>Il n’est pas perçu de frais (art. 61 let. a aLPGA et 83 LPGA).</w:t>
      </w:r>
    </w:p>
    <w:p>
      <w:r>
        <w:rPr>
          <w:b/>
        </w:rPr>
        <w:t>E. 4.2</w:t>
      </w:r>
    </w:p>
    <w:p>
      <w:r>
        <w:t>Par décision présidentielle du 7 juillet 2021 (S3 21 24), la recourante a été mise au bénéfice de l’assistance judiciaire avec effet au 22 février 2021, Me Y _________ lui étant désigné comme avocat d’office dès cette date. Aucun indice ne laissant penser que sa situation financière aurait changé, l’intéressée a droit à des dépens au tarif de l'assistance judiciaire. Les dépens sont fixés compte tenu de l'importance et la complexité du litige. Pour la procédure devant la cour des assurances sociales du Tribunal cantonal, les honoraires sont fixés entre 550 et 11 000 fr. (art. 61 let. g LPGA, art. 27 al. 1, 5 et 40 al. 1 de la loi du 11 février 2009 fixant le tarif des frais et dépens devant les autorités judiciaires ou administratives — LTar ; RS/VS 173.8). De manière générale, l’autorité appelée à statuer sur les dépens doit veiller à ce que les honoraires soient objectivement en rapport avec la prestation fournie et la responsabilité engagée (ATF 122 I 1 consid. 3a ; 117 Ia 22 consid. 3a, arrêt 4A_496/2009 du 2 novembre 2009 consid. 4.1). On tiendra compte de l'importance et des difficultés particulières de la cause, de la qualité et de l'étendue effective des prestations du mandataire, de sa responsabilité ainsi que du résultat obtenu. S'agissant de l'importance de la cause, elle est fonction de sa complexité et des valeurs en jeu (ATF 119 III 68 consid. 3b, 109 la 110 consid. 3b, 93 1 116 ; RVJ 1989 p. 146 consid. 4b). Ainsi pour déterminer le montant des honoraires, le juge ne prend en compte que le temps utilisé par l'avocat qui s'inscrit raisonnablement dans le cadre de l'accomplissement de sa tâche (ATF 109 la 107 consid. 3b, arrêt 5D_54/2014 du 1 er juillet 2014 consid. 2.2, RVJ 2009 p. 160 consid. 5 a) cc) ). Le juge apprécie la durée de l'activité utilement déployée par</w:t>
      </w:r>
    </w:p>
    <w:p>
      <w:r>
        <w:t>- 12 - un avocat diligent en procédant par estimation en fonction du cours ordinaire des choses et de l'expérience de la vie (RVJ 1994 p. 153 consid. 3c). Les opérations superflues, dépassant le travail effectivement utile, peuvent être éliminées (ATF 122 1 1 consid. 3a et 3c). A cet égard, l'autorité judiciaire jouit d'un large pouvoir d'appréciation (ATF 118 la 133 consid. 2d). Seront ainsi considérées comme des démarches superflues celles qui relèvent plus du soutien moral ou de l'aide sociale que de la conduite de la procédure (ATF 109 la 111 consid. 3b). Concernant les débours, la partie et l'avocat ont en principe droit à leur remboursement intégral s'ils sont justifiés, c'est-à-dire qu'ils apparaissent nécessaires et indispensables à la solution du litige (RVJ 2009 p. 160 consid. 5 a) cc), 2002 p. 315 consid. 2a). Selon l’article 30 alinéa 1 LTar, le conseil juridique habilité à se faire indemniser en vertu des dispositions en matière d’assistance judiciaire perçoit, en sus du remboursement de ses débours justifiés, des honoraires correspondant au 70% des honoraires prévus aux articles 31 à 40, mais au moins à une rémunération équitable telle que définie par la jurisprudence du Tribunal fédéral. En l’occurrence, le mandataire de la recourante a produit un recours de neuf pages et un bordereau d’une vingtaine de pages, une détermination de quatre pages reprenant principalement les arguments développés dans le recours et trois courriers d’une page dans un dossier de difficulté moyenne. Au terme de l’échange d’écritures, il a déposé un décompte d’opérations pour un temps total de 16 heures 14 minutes et des débours de 125 fr. 50, ce qui correspond à un montant total de 6159 fr. 80. S’agissant des honoraires, ceux-ci doivent être évalués sans qu’il soit nécessaire de motiver précisément le calcul du montant alloué (arrêt 9C_411/2016 du 21 novembre 2016 consid. 6.2). Comme indiqué, il sied d’apprécier le travail nécessaire ayant dû être accompli par l’avocat. Après analyse de la note d’honoraires présentée par le mandataire du recourant, celle- ci mentionne 24 mails ou lettre adressées par mail à la cliente, soit près de quatre heures (228 minutes), ce qui est exagéré compte tenu des échanges d’écritures tenus dans la présente procédure. En outre, le temps de préparation de la réplique est excessif, le dossier étant déjà largement connu par le mandataire à ce moment de la procédure et l’intimée n’ayant pas développé de nouveaux arguments dans sa réponse au recours. La recourante ayant été mise au bénéfice de l’assistance judiciaire, il y a lieu de fixer les honoraires en prenant en compte le 70% du tarif horaire usuel en Valais (260 fr.), conformément aux bases légales rappelées ci-dessus.</w:t>
      </w:r>
    </w:p>
    <w:p>
      <w:r>
        <w:t>- 13 - Ainsi, sur la base du dossier et en tenant compte des éléments précités et notamment de l’activité déployée par Me Y _________, il convient de s’écarter de son décompte et de fixer globalement les honoraires de l’avocat à 2500 fr. (TVA comprise), auxquels s’ajoutent des débours par 125 fr. 50. Dès lors, eu égard au tarif de l’assistance judiciaire, une indemnité de 1875 fr. 50 (70% de 2500 fr. + 125 fr. 50 de débours) sera versée à Me Y _________ par l’Etat du Valais (art. 8 al. 1 let.a LAJ). Ce montant sera supporté provisoirement par la caisse de l’Etat du Valais, mais la recourante est toutefois rendue attentive au fait qu'elle devra rembourser cette caisse si elle devient ultérieurement en mesure de le faire (art. 10 LAJ ; RVJ 2000 152).</w:t>
      </w:r>
    </w:p>
    <w:p>
      <w:r>
        <w:t>Prononce</w:t>
      </w:r>
    </w:p>
    <w:p>
      <w:r>
        <w:t>1. Le recours est rejeté. 2. Il n'est pas perçu de frais. 3. L’Etat du Valais versera à Me Y _________ la somme de 1875 fr. 50 au titre de l'assistance judiciaire pour la procédure de recours.</w:t>
      </w:r>
    </w:p>
    <w:p>
      <w:r>
        <w:t>Sion, le 26 avril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